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image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Charte d’usage des outils d’intelligence artificielle de [Nom de l’entreprise]</w:t>
      </w:r>
    </w:p>
    <w:p>
      <w:pPr>
        <w:pStyle w:val="Subtitle"/>
      </w:pPr>
      <w:r>
        <w:t xml:space="preserve">Modèle Kokoro, à remplir et à faire relire</w:t>
      </w:r>
    </w:p>
    <w:p>
      <w:pPr>
        <w:pStyle w:val="Author"/>
      </w:pPr>
      <w:r>
        <w:t xml:space="preserve">Kokoro, kokoro-ai.fr</w:t>
      </w:r>
    </w:p>
    <w:p>
      <w:pPr>
        <w:pStyle w:val="Date"/>
      </w:pPr>
      <w:r>
        <w:t xml:space="preserve">Octobre 2026</w:t>
      </w:r>
    </w:p>
    <w:sdt>
      <w:sdtPr>
        <w:docPartObj>
          <w:docPartGallery w:val="Table of Contents"/>
          <w:docPartUnique/>
        </w:docPartObj>
      </w:sdtPr>
      <w:sdtContent>
        <w:p>
          <w:pPr>
            <w:pStyle w:val="TOCHeading"/>
          </w:pPr>
          <w:r>
            <w:t xml:space="preserve">Sommaire</w:t>
          </w:r>
        </w:p>
        <w:p>
          <w:r>
            <w:fldChar w:fldCharType="begin" w:dirty="true"/>
            <w:instrText xml:space="preserve">TOC \o "1-2" \h \z \u</w:instrText>
            <w:fldChar w:fldCharType="separate"/>
            <w:fldChar w:fldCharType="end"/>
          </w:r>
        </w:p>
      </w:sdtContent>
    </w:sdt>
    <w:p>
      <w:pPr>
        <w:pStyle w:val="FirstParagraph"/>
      </w:pPr>
      <w:r>
        <w:rPr>
          <w:i/>
          <w:iCs/>
        </w:rPr>
        <w:t xml:space="preserve">Les crochets sont à remplacer. Ce modèle n’est pas un avis juridique : faites relire votre version par votre conseil, et par votre DPO si vous en avez un.</w:t>
      </w:r>
    </w:p>
    <w:p>
      <w:pPr>
        <w:pStyle w:val="BodyText"/>
      </w:pPr>
      <w:r>
        <w:t xml:space="preserve">Version [n°] du [date], validée par [nom, fonction].</w:t>
      </w:r>
    </w:p>
    <w:bookmarkStart w:id="19" w:name="objet-et-périmètre"/>
    <w:p>
      <w:pPr>
        <w:pStyle w:val="Heading2"/>
      </w:pPr>
      <w:r>
        <w:t xml:space="preserve">1. Objet et périmètre</w:t>
      </w:r>
    </w:p>
    <w:p>
      <w:pPr>
        <w:pStyle w:val="FirstParagraph"/>
      </w:pPr>
      <w:r>
        <w:t xml:space="preserve">Cette charte fixe les règles d’usage des outils d’intelligence artificielle (assistants conversationnels, agents, fonctions d’IA intégrées à nos logiciels) chez [Nom de l’entreprise]. Elle s’applique à toute personne qui les utilise pour le compte de l’entreprise : salariés, alternants, stagiaires, et prestataires qui ont un accès à nos outils.</w:t>
      </w:r>
    </w:p>
    <w:bookmarkEnd w:id="19"/>
    <w:bookmarkStart w:id="20" w:name="outils-autorisés"/>
    <w:p>
      <w:pPr>
        <w:pStyle w:val="Heading2"/>
      </w:pPr>
      <w:r>
        <w:t xml:space="preserve">2. Outils autorisés</w:t>
      </w:r>
    </w:p>
    <w:p>
      <w:pPr>
        <w:pStyle w:val="FirstParagraph"/>
      </w:pPr>
      <w:r>
        <w:t xml:space="preserve">Les outils autorisés sont ceux de la liste ci-dessous, utilisés avec un compte fourni par l’entreprise. Tout autre outil, y compris dans sa version gratuite, demande l’accord préalable de [référent IA].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Outil</w:t>
            </w:r>
          </w:p>
        </w:tc>
        <w:tc>
          <w:tcPr/>
          <w:p>
            <w:pPr>
              <w:pStyle w:val="Compact"/>
            </w:pPr>
            <w:r>
              <w:t xml:space="preserve">Version et compte</w:t>
            </w:r>
          </w:p>
        </w:tc>
        <w:tc>
          <w:tcPr/>
          <w:p>
            <w:pPr>
              <w:pStyle w:val="Compact"/>
            </w:pPr>
            <w:r>
              <w:t xml:space="preserve">Usages prévus</w:t>
            </w:r>
          </w:p>
        </w:tc>
      </w:tr>
      <w:tr>
        <w:tc>
          <w:tcPr/>
          <w:p>
            <w:pPr>
              <w:pStyle w:val="Compact"/>
            </w:pPr>
            <w:r>
              <w:t xml:space="preserve">[Outil 1]</w:t>
            </w:r>
          </w:p>
        </w:tc>
        <w:tc>
          <w:tcPr/>
          <w:p>
            <w:pPr>
              <w:pStyle w:val="Compact"/>
            </w:pPr>
            <w:r>
              <w:t xml:space="preserve">[Version entreprise, compte nominatif]</w:t>
            </w:r>
          </w:p>
        </w:tc>
        <w:tc>
          <w:tcPr/>
          <w:p>
            <w:pPr>
              <w:pStyle w:val="Compact"/>
            </w:pPr>
            <w:r>
              <w:t xml:space="preserve">[Rédaction, synthèse, recherche…]</w:t>
            </w:r>
          </w:p>
        </w:tc>
      </w:tr>
      <w:tr>
        <w:tc>
          <w:tcPr/>
          <w:p>
            <w:pPr>
              <w:pStyle w:val="Compact"/>
            </w:pPr>
            <w:r>
              <w:t xml:space="preserve">[Outil 2]</w:t>
            </w:r>
          </w:p>
        </w:tc>
        <w:tc>
          <w:tcPr/>
          <w:p>
            <w:pPr>
              <w:pStyle w:val="Compact"/>
            </w:pPr>
          </w:p>
        </w:tc>
        <w:tc>
          <w:tcPr/>
          <w:p>
            <w:pPr>
              <w:pStyle w:val="Compact"/>
            </w:pPr>
          </w:p>
        </w:tc>
      </w:tr>
      <w:tr>
        <w:tc>
          <w:tcPr/>
          <w:p>
            <w:pPr>
              <w:pStyle w:val="Compact"/>
            </w:pPr>
            <w:r>
              <w:t xml:space="preserve">[Outil 3]</w:t>
            </w:r>
          </w:p>
        </w:tc>
        <w:tc>
          <w:tcPr/>
          <w:p>
            <w:pPr>
              <w:pStyle w:val="Compact"/>
            </w:pPr>
          </w:p>
        </w:tc>
        <w:tc>
          <w:tcPr/>
          <w:p>
            <w:pPr>
              <w:pStyle w:val="Compact"/>
            </w:pPr>
          </w:p>
        </w:tc>
      </w:tr>
    </w:tbl>
    <w:bookmarkEnd w:id="20"/>
    <w:bookmarkStart w:id="21" w:name="données"/>
    <w:p>
      <w:pPr>
        <w:pStyle w:val="Heading2"/>
      </w:pPr>
      <w:r>
        <w:t xml:space="preserve">3. Données</w:t>
      </w:r>
    </w:p>
    <w:p>
      <w:pPr>
        <w:pStyle w:val="FirstParagraph"/>
      </w:pPr>
      <w:r>
        <w:t xml:space="preserve">On ne confie à un outil que les données dont la tâche a besoin. Dans un outil qui n’est pas sur la liste, on ne saisit aucune donnée de l’entreprise, de ses clients ou de ses salariés.</w:t>
      </w:r>
    </w:p>
    <w:p>
      <w:pPr>
        <w:pStyle w:val="BodyText"/>
      </w:pPr>
      <w:r>
        <w:t xml:space="preserve">Ne sont jamais saisis, quel que soit l’outil : [données de santé ; données bancaires ; mots de passe, codes et clés d’accès ; salaires et évaluations individuelles ; informations couvertes par un accord de confidentialité ; à compléter].</w:t>
      </w:r>
    </w:p>
    <w:bookmarkEnd w:id="21"/>
    <w:bookmarkStart w:id="22" w:name="relecture-et-responsabilité"/>
    <w:p>
      <w:pPr>
        <w:pStyle w:val="Heading2"/>
      </w:pPr>
      <w:r>
        <w:t xml:space="preserve">4. Relecture et responsabilité</w:t>
      </w:r>
    </w:p>
    <w:p>
      <w:pPr>
        <w:pStyle w:val="FirstParagraph"/>
      </w:pPr>
      <w:r>
        <w:t xml:space="preserve">Un outil d’IA peut produire un contenu faux présenté de façon convaincante. Tout contenu produit avec l’IA est relu par la personne qui l’utilise avant d’être envoyé, publié ou utilisé pour décider. Les chiffres, les noms, les citations et les références juridiques se vérifient à leur source. La personne qui diffuse le contenu en répond, comme de tout autre travail.</w:t>
      </w:r>
    </w:p>
    <w:p>
      <w:pPr>
        <w:pStyle w:val="BodyText"/>
      </w:pPr>
      <w:r>
        <w:t xml:space="preserve">Aucune décision qui concerne une personne ([recrutement, évaluation, sanction, à compléter]) n’est prise par un outil d’IA seul.</w:t>
      </w:r>
    </w:p>
    <w:bookmarkEnd w:id="22"/>
    <w:bookmarkStart w:id="23" w:name="transparence"/>
    <w:p>
      <w:pPr>
        <w:pStyle w:val="Heading2"/>
      </w:pPr>
      <w:r>
        <w:t xml:space="preserve">5. Transparence</w:t>
      </w:r>
    </w:p>
    <w:p>
      <w:pPr>
        <w:pStyle w:val="FirstParagraph"/>
      </w:pPr>
      <w:r>
        <w:t xml:space="preserve">Nous indiquons qu’un contenu a été produit avec l’IA quand son destinataire pourrait s’y tromper : [images et vidéos générées publiées à l’extérieur ; messages envoyés au nom d’une personne sans relecture ; à compléter]. Un client qui le demande est informé des outils utilisés pour sa mission.</w:t>
      </w:r>
    </w:p>
    <w:bookmarkEnd w:id="23"/>
    <w:bookmarkStart w:id="24" w:name="formation"/>
    <w:p>
      <w:pPr>
        <w:pStyle w:val="Heading2"/>
      </w:pPr>
      <w:r>
        <w:t xml:space="preserve">6. Formation</w:t>
      </w:r>
    </w:p>
    <w:p>
      <w:pPr>
        <w:pStyle w:val="FirstParagraph"/>
      </w:pPr>
      <w:r>
        <w:t xml:space="preserve">Chaque utilisateur suit une prise en main avant d’accéder aux outils : [format, durée]. La charte y est présentée. Les nouveaux arrivants la reçoivent avec leurs accès. [Nom de l’entreprise] garde une trace des formations suivies.</w:t>
      </w:r>
    </w:p>
    <w:bookmarkEnd w:id="24"/>
    <w:bookmarkStart w:id="25" w:name="référent-signalements-et-révision"/>
    <w:p>
      <w:pPr>
        <w:pStyle w:val="Heading2"/>
      </w:pPr>
      <w:r>
        <w:t xml:space="preserve">7. Référent, signalements et révision</w:t>
      </w:r>
    </w:p>
    <w:p>
      <w:pPr>
        <w:pStyle w:val="FirstParagraph"/>
      </w:pPr>
      <w:r>
        <w:t xml:space="preserve">[Prénom Nom, fonction] est le référent IA. Il tient à jour la liste des outils autorisés, répond aux questions et reçoit les signalements : une donnée saisie par erreur, un contenu faux diffusé, un outil qui se comporte de façon inattendue. Signaler vite est la règle : c’est ce qui permet de corriger.</w:t>
      </w:r>
    </w:p>
    <w:p>
      <w:pPr>
        <w:pStyle w:val="BodyText"/>
      </w:pPr>
      <w:r>
        <w:t xml:space="preserve">La charte est relue à chaque nouvel outil, et au moins une fois par an.</w:t>
      </w:r>
    </w:p>
    <w:bookmarkEnd w:id="25"/>
    <w:bookmarkStart w:id="26" w:name="prise-de-connaissance"/>
    <w:p>
      <w:pPr>
        <w:pStyle w:val="Heading2"/>
      </w:pPr>
      <w:r>
        <w:t xml:space="preserve">Prise de connaissance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Lu par</w:t>
            </w:r>
          </w:p>
        </w:tc>
        <w:tc>
          <w:tcPr/>
          <w:p>
            <w:pPr>
              <w:pStyle w:val="Compact"/>
            </w:pPr>
            <w:r>
              <w:t xml:space="preserve">Date</w:t>
            </w:r>
          </w:p>
        </w:tc>
        <w:tc>
          <w:tcPr/>
          <w:p>
            <w:pPr>
              <w:pStyle w:val="Compact"/>
            </w:pPr>
            <w:r>
              <w:t xml:space="preserve">Signature</w:t>
            </w:r>
          </w:p>
        </w:tc>
      </w:tr>
      <w:tr>
        <w:tc>
          <w:tcPr/>
          <w:p>
            <w:pPr>
              <w:pStyle w:val="Compact"/>
            </w:pPr>
            <w:r>
              <w:t xml:space="preserve">[Prénom Nom]</w:t>
            </w:r>
          </w:p>
        </w:tc>
        <w:tc>
          <w:tcPr/>
          <w:p>
            <w:pPr>
              <w:pStyle w:val="Compact"/>
            </w:pPr>
          </w:p>
        </w:tc>
        <w:tc>
          <w:tcPr/>
          <w:p>
            <w:pPr>
              <w:pStyle w:val="Compact"/>
            </w:pPr>
          </w:p>
        </w:tc>
      </w:tr>
      <w:tr>
        <w:tc>
          <w:tcPr/>
          <w:p>
            <w:pPr>
              <w:pStyle w:val="Compact"/>
            </w:pPr>
          </w:p>
        </w:tc>
        <w:tc>
          <w:tcPr/>
          <w:p>
            <w:pPr>
              <w:pStyle w:val="Compact"/>
            </w:pPr>
          </w:p>
        </w:tc>
        <w:tc>
          <w:tcPr/>
          <w:p>
            <w:pPr>
              <w:pStyle w:val="Compact"/>
            </w:pPr>
          </w:p>
        </w:tc>
      </w:tr>
    </w:tbl>
    <w:bookmarkEnd w:id="26"/>
    <w:bookmarkStart w:id="27" w:name="annexe-les-données-en-trois-couleurs"/>
    <w:p>
      <w:pPr>
        <w:pStyle w:val="Heading1"/>
      </w:pPr>
      <w:r>
        <w:t xml:space="preserve">Annexe : les données, en trois couleurs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Catégorie</w:t>
            </w:r>
          </w:p>
        </w:tc>
        <w:tc>
          <w:tcPr/>
          <w:p>
            <w:pPr>
              <w:pStyle w:val="Compact"/>
            </w:pPr>
            <w:r>
              <w:t xml:space="preserve">Exemples</w:t>
            </w:r>
          </w:p>
        </w:tc>
      </w:tr>
      <w:tr>
        <w:tc>
          <w:tcPr/>
          <w:p>
            <w:pPr>
              <w:pStyle w:val="Compact"/>
            </w:pPr>
            <w:r>
              <w:t xml:space="preserve">Libre</w:t>
            </w:r>
          </w:p>
        </w:tc>
        <w:tc>
          <w:tcPr/>
          <w:p>
            <w:pPr>
              <w:pStyle w:val="Compact"/>
            </w:pPr>
            <w:r>
              <w:t xml:space="preserve">Informations publiques : site, plaquette, offres publiées. Textes sans nom de personne ni chiffre interne. Recherches générales.</w:t>
            </w:r>
          </w:p>
        </w:tc>
      </w:tr>
      <w:tr>
        <w:tc>
          <w:tcPr/>
          <w:p>
            <w:pPr>
              <w:pStyle w:val="Compact"/>
            </w:pPr>
            <w:r>
              <w:t xml:space="preserve">Outil de la liste seulement</w:t>
            </w:r>
          </w:p>
        </w:tc>
        <w:tc>
          <w:tcPr/>
          <w:p>
            <w:pPr>
              <w:pStyle w:val="Compact"/>
            </w:pPr>
            <w:r>
              <w:t xml:space="preserve">Documents internes non sensibles, procédures, modèles, comptes rendus de réunion. Données de clients ou de salariés limitées à ce que la tâche demande, anonymisées quand c’est possible.</w:t>
            </w:r>
          </w:p>
        </w:tc>
      </w:tr>
      <w:tr>
        <w:tc>
          <w:tcPr/>
          <w:p>
            <w:pPr>
              <w:pStyle w:val="Compact"/>
            </w:pPr>
            <w:r>
              <w:t xml:space="preserve">Jamais</w:t>
            </w:r>
          </w:p>
        </w:tc>
        <w:tc>
          <w:tcPr/>
          <w:p>
            <w:pPr>
              <w:pStyle w:val="Compact"/>
            </w:pPr>
            <w:r>
              <w:t xml:space="preserve">Données de santé, données bancaires, mots de passe et clés d’accès. Salaires et évaluations individuelles. Informations sous accord de confidentialité. Tout ce que vos contrats interdisent de transmettre.</w:t>
            </w:r>
          </w:p>
        </w:tc>
      </w:tr>
    </w:tbl>
    <w:bookmarkEnd w:id="27"/>
    <w:bookmarkStart w:id="28" w:name="annexe-les-sept-rubriques"/>
    <w:p>
      <w:pPr>
        <w:pStyle w:val="Heading1"/>
      </w:pPr>
      <w:r>
        <w:t xml:space="preserve">Annexe : les sept rubriques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Rubrique</w:t>
            </w:r>
          </w:p>
        </w:tc>
        <w:tc>
          <w:tcPr/>
          <w:p>
            <w:pPr>
              <w:pStyle w:val="Compact"/>
            </w:pPr>
            <w:r>
              <w:t xml:space="preserve">Règle type</w:t>
            </w:r>
          </w:p>
        </w:tc>
        <w:tc>
          <w:tcPr/>
          <w:p>
            <w:pPr>
              <w:pStyle w:val="Compact"/>
            </w:pPr>
            <w:r>
              <w:t xml:space="preserve">Exemple</w:t>
            </w:r>
          </w:p>
        </w:tc>
        <w:tc>
          <w:tcPr/>
          <w:p>
            <w:pPr>
              <w:pStyle w:val="Compact"/>
            </w:pPr>
            <w:r>
              <w:t xml:space="preserve">Qui valide</w:t>
            </w:r>
          </w:p>
        </w:tc>
      </w:tr>
      <w:tr>
        <w:tc>
          <w:tcPr/>
          <w:p>
            <w:pPr>
              <w:pStyle w:val="Compact"/>
            </w:pPr>
            <w:r>
              <w:t xml:space="preserve">1. Objet et périmètre</w:t>
            </w:r>
          </w:p>
        </w:tc>
        <w:tc>
          <w:tcPr/>
          <w:p>
            <w:pPr>
              <w:pStyle w:val="Compact"/>
            </w:pPr>
            <w:r>
              <w:t xml:space="preserve">La charte s’applique à toute personne qui utilise un outil d’IA pour le compte de l’entreprise.</w:t>
            </w:r>
          </w:p>
        </w:tc>
        <w:tc>
          <w:tcPr/>
          <w:p>
            <w:pPr>
              <w:pStyle w:val="Compact"/>
            </w:pPr>
            <w:r>
              <w:t xml:space="preserve">Salariés, alternants, stagiaires et prestataires qui ont un accès à nos outils.</w:t>
            </w:r>
          </w:p>
        </w:tc>
        <w:tc>
          <w:tcPr/>
          <w:p>
            <w:pPr>
              <w:pStyle w:val="Compact"/>
            </w:pPr>
            <w:r>
              <w:t xml:space="preserve">Direction</w:t>
            </w:r>
          </w:p>
        </w:tc>
      </w:tr>
      <w:tr>
        <w:tc>
          <w:tcPr/>
          <w:p>
            <w:pPr>
              <w:pStyle w:val="Compact"/>
            </w:pPr>
            <w:r>
              <w:t xml:space="preserve">2. Outils autorisés</w:t>
            </w:r>
          </w:p>
        </w:tc>
        <w:tc>
          <w:tcPr/>
          <w:p>
            <w:pPr>
              <w:pStyle w:val="Compact"/>
            </w:pPr>
            <w:r>
              <w:t xml:space="preserve">Seuls les outils de la liste, en version entreprise, avec un compte fourni par l’entreprise.</w:t>
            </w:r>
          </w:p>
        </w:tc>
        <w:tc>
          <w:tcPr/>
          <w:p>
            <w:pPr>
              <w:pStyle w:val="Compact"/>
            </w:pPr>
            <w:r>
              <w:t xml:space="preserve">Deux outils nommés, comptes nominatifs ; tout autre outil sur demande au référent.</w:t>
            </w:r>
          </w:p>
        </w:tc>
        <w:tc>
          <w:tcPr/>
          <w:p>
            <w:pPr>
              <w:pStyle w:val="Compact"/>
            </w:pPr>
            <w:r>
              <w:t xml:space="preserve">Direction, avec la DSI ou le prestataire informatique</w:t>
            </w:r>
          </w:p>
        </w:tc>
      </w:tr>
      <w:tr>
        <w:tc>
          <w:tcPr/>
          <w:p>
            <w:pPr>
              <w:pStyle w:val="Compact"/>
            </w:pPr>
            <w:r>
              <w:t xml:space="preserve">3. Données</w:t>
            </w:r>
          </w:p>
        </w:tc>
        <w:tc>
          <w:tcPr/>
          <w:p>
            <w:pPr>
              <w:pStyle w:val="Compact"/>
            </w:pPr>
            <w:r>
              <w:t xml:space="preserve">Rien de l’entreprise dans un outil hors liste ; dans les outils de la liste, seulement ce que la tâche demande.</w:t>
            </w:r>
          </w:p>
        </w:tc>
        <w:tc>
          <w:tcPr/>
          <w:p>
            <w:pPr>
              <w:pStyle w:val="Compact"/>
            </w:pPr>
            <w:r>
              <w:t xml:space="preserve">Jamais de données de santé, de salaires ni de mots de passe ; un contrat client anonymisé avant usage.</w:t>
            </w:r>
          </w:p>
        </w:tc>
        <w:tc>
          <w:tcPr/>
          <w:p>
            <w:pPr>
              <w:pStyle w:val="Compact"/>
            </w:pPr>
            <w:r>
              <w:t xml:space="preserve">Direction, avec le DPO s’il y en a un</w:t>
            </w:r>
          </w:p>
        </w:tc>
      </w:tr>
      <w:tr>
        <w:tc>
          <w:tcPr/>
          <w:p>
            <w:pPr>
              <w:pStyle w:val="Compact"/>
            </w:pPr>
            <w:r>
              <w:t xml:space="preserve">4. Relecture et responsabilité</w:t>
            </w:r>
          </w:p>
        </w:tc>
        <w:tc>
          <w:tcPr/>
          <w:p>
            <w:pPr>
              <w:pStyle w:val="Compact"/>
            </w:pPr>
            <w:r>
              <w:t xml:space="preserve">Tout contenu produit avec l’IA est relu par une personne avant de sortir ; c’est elle qui en répond.</w:t>
            </w:r>
          </w:p>
        </w:tc>
        <w:tc>
          <w:tcPr/>
          <w:p>
            <w:pPr>
              <w:pStyle w:val="Compact"/>
            </w:pPr>
            <w:r>
              <w:t xml:space="preserve">Un chiffre, un nom, une citation ou une référence juridique se vérifient à la source.</w:t>
            </w:r>
          </w:p>
        </w:tc>
        <w:tc>
          <w:tcPr/>
          <w:p>
            <w:pPr>
              <w:pStyle w:val="Compact"/>
            </w:pPr>
            <w:r>
              <w:t xml:space="preserve">Chaque responsable d’équipe</w:t>
            </w:r>
          </w:p>
        </w:tc>
      </w:tr>
      <w:tr>
        <w:tc>
          <w:tcPr/>
          <w:p>
            <w:pPr>
              <w:pStyle w:val="Compact"/>
            </w:pPr>
            <w:r>
              <w:t xml:space="preserve">5. Transparence</w:t>
            </w:r>
          </w:p>
        </w:tc>
        <w:tc>
          <w:tcPr/>
          <w:p>
            <w:pPr>
              <w:pStyle w:val="Compact"/>
            </w:pPr>
            <w:r>
              <w:t xml:space="preserve">On dit qu’un contenu a été produit avec l’IA quand le destinataire pourrait s’y tromper.</w:t>
            </w:r>
          </w:p>
        </w:tc>
        <w:tc>
          <w:tcPr/>
          <w:p>
            <w:pPr>
              <w:pStyle w:val="Compact"/>
            </w:pPr>
            <w:r>
              <w:t xml:space="preserve">Une image générée publiée sur nos réseaux porte la mention « image générée par IA ».</w:t>
            </w:r>
          </w:p>
        </w:tc>
        <w:tc>
          <w:tcPr/>
          <w:p>
            <w:pPr>
              <w:pStyle w:val="Compact"/>
            </w:pPr>
            <w:r>
              <w:t xml:space="preserve">Direction et communication</w:t>
            </w:r>
          </w:p>
        </w:tc>
      </w:tr>
      <w:tr>
        <w:tc>
          <w:tcPr/>
          <w:p>
            <w:pPr>
              <w:pStyle w:val="Compact"/>
            </w:pPr>
            <w:r>
              <w:t xml:space="preserve">6. Formation</w:t>
            </w:r>
          </w:p>
        </w:tc>
        <w:tc>
          <w:tcPr/>
          <w:p>
            <w:pPr>
              <w:pStyle w:val="Compact"/>
            </w:pPr>
            <w:r>
              <w:t xml:space="preserve">Personne n’utilise les outils sans une prise en main ; la charte y est présentée.</w:t>
            </w:r>
          </w:p>
        </w:tc>
        <w:tc>
          <w:tcPr/>
          <w:p>
            <w:pPr>
              <w:pStyle w:val="Compact"/>
            </w:pPr>
            <w:r>
              <w:t xml:space="preserve">Une session par équipe à l’arrivée des licences, puis un point à trente jours.</w:t>
            </w:r>
          </w:p>
        </w:tc>
        <w:tc>
          <w:tcPr/>
          <w:p>
            <w:pPr>
              <w:pStyle w:val="Compact"/>
            </w:pPr>
            <w:r>
              <w:t xml:space="preserve">Direction et RH</w:t>
            </w:r>
          </w:p>
        </w:tc>
      </w:tr>
      <w:tr>
        <w:tc>
          <w:tcPr/>
          <w:p>
            <w:pPr>
              <w:pStyle w:val="Compact"/>
            </w:pPr>
            <w:r>
              <w:t xml:space="preserve">7. Suivi et révision</w:t>
            </w:r>
          </w:p>
        </w:tc>
        <w:tc>
          <w:tcPr/>
          <w:p>
            <w:pPr>
              <w:pStyle w:val="Compact"/>
            </w:pPr>
            <w:r>
              <w:t xml:space="preserve">Un référent tient la liste des outils, reçoit les signalements et propose les mises à jour.</w:t>
            </w:r>
          </w:p>
        </w:tc>
        <w:tc>
          <w:tcPr/>
          <w:p>
            <w:pPr>
              <w:pStyle w:val="Compact"/>
            </w:pPr>
            <w:r>
              <w:t xml:space="preserve">Relecture à chaque nouvel outil, et au moins une fois par an.</w:t>
            </w:r>
          </w:p>
        </w:tc>
        <w:tc>
          <w:tcPr/>
          <w:p>
            <w:pPr>
              <w:pStyle w:val="Compact"/>
            </w:pPr>
            <w:r>
              <w:t xml:space="preserve">Référent IA, validé par la direction</w:t>
            </w:r>
          </w:p>
        </w:tc>
      </w:tr>
    </w:tbl>
    <w:bookmarkEnd w:id="28"/>
    <w:bookmarkStart w:id="29" w:name="ce-que-disent-les-textes"/>
    <w:p>
      <w:pPr>
        <w:pStyle w:val="Heading1"/>
      </w:pPr>
      <w:r>
        <w:t xml:space="preserve">Ce que disent les textes</w:t>
      </w:r>
    </w:p>
    <w:p>
      <w:pPr>
        <w:pStyle w:val="FirstParagraph"/>
      </w:pPr>
      <w:r>
        <w:t xml:space="preserve">Depuis le 2 février 2025, l’article 4 du règlement européen sur l’IA s’applique aux entreprises qui utilisent des systèmes d’IA. Le règlement (UE) 2026/1744, publié au Journal officiel de l’Union européenne le 24 juillet 2026, l’a réécrit :</w:t>
      </w:r>
    </w:p>
    <w:p>
      <w:pPr>
        <w:pStyle w:val="BlockText"/>
      </w:pPr>
      <w:r>
        <w:t xml:space="preserve">« Les fournisseurs et les déployeurs de systèmes d’IA prennent des mesures pour favoriser le développement de la maîtrise de l’IA par leur personnel […]. Cette obligation ne contraint pas les fournisseurs ou les déployeurs à garantir un niveau spécifique de maîtrise de l’IA par un individu. »</w:t>
      </w:r>
    </w:p>
    <w:p>
      <w:pPr>
        <w:pStyle w:val="FirstParagraph"/>
      </w:pPr>
      <w:r>
        <w:t xml:space="preserve">Dans ses questions-réponses du 18 juillet 2024, la CNIL recommande d’encadrer l’usage par des « politiques ou chartes internes, définissant clairement les usages autorisés et les usages interdits ».</w:t>
      </w:r>
    </w:p>
    <w:p>
      <w:pPr>
        <w:pStyle w:val="BodyText"/>
      </w:pPr>
      <w:r>
        <w:t xml:space="preserve">Sources : Règlement (UE) 2026/1744 du 8 juillet 2026, JO L du 24 juillet 2026, point 5 (nouvel article 4 du règlement (UE) 2024/1689), eur-lex.europa.eu. Règlement (UE) 2024/1689, article 113, point a). CNIL, « Les questions-réponses de la CNIL sur l’utilisation d’un système d’IA générative », 18 juillet 2024, cnil.fr. Textes consultés le 12 octobre 2026.</w:t>
      </w:r>
    </w:p>
    <w:bookmarkEnd w:id="29"/>
    <w:sectPr>
      <w:headerReference r:id="rId9" w:type="default"/>
      <w:footerReference r:id="rId10" w:type="default"/>
      <w:footnotePr>
        <w:numRestart w:val="eachSect"/>
      </w:footnotePr>
      <w:pgSz w:h="16838" w:w="11906"/>
      <w:pgMar w:bottom="1247" w:footer="567" w:header="624" w:left="1361" w:right="1361" w:top="147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
      <w:rPr>
        <w:color w:val="606A78"/>
        <w:sz w:val="16"/>
      </w:rPr>
      <w:t>kokoro-ai.fr</w:t>
    </w:r>
    <w:r>
      <w:tab/>
    </w:r>
    <w:r>
      <w:rPr>
        <w:color w:val="606A78"/>
        <w:sz w:val="16"/>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
      <w:drawing>
        <wp:inline xmlns:a="http://schemas.openxmlformats.org/drawingml/2006/main" xmlns:pic="http://schemas.openxmlformats.org/drawingml/2006/picture">
          <wp:extent cx="1152000" cy="221760"/>
          <wp:docPr id="1" name="Picture 1"/>
          <wp:cNvGraphicFramePr>
            <a:graphicFrameLocks noChangeAspect="1"/>
          </wp:cNvGraphicFramePr>
          <a:graphic>
            <a:graphicData uri="http://schemas.openxmlformats.org/drawingml/2006/picture">
              <pic:pic>
                <pic:nvPicPr>
                  <pic:cNvPr id="0" name="lockup-primary-black-transparent.png"/>
                  <pic:cNvPicPr/>
                </pic:nvPicPr>
                <pic:blipFill>
                  <a:blip r:embed="rId1"/>
                  <a:stretch>
                    <a:fillRect/>
                  </a:stretch>
                </pic:blipFill>
                <pic:spPr>
                  <a:xfrm>
                    <a:off x="0" y="0"/>
                    <a:ext cx="1152000" cy="221760"/>
                  </a:xfrm>
                  <a:prstGeom prst="rect"/>
                </pic:spPr>
              </pic:pic>
            </a:graphicData>
          </a:graphic>
        </wp:inline>
      </w:drawing>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line="300" w:lineRule="auto"/>
    </w:pPr>
    <w:rPr>
      <w:color w:val="0C1118"/>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280" w:line="240" w:lineRule="auto"/>
      <w:contextualSpacing/>
      <w:jc w:val="left"/>
    </w:pPr>
    <w:rPr>
      <w:rFonts w:asciiTheme="majorHAnsi" w:cstheme="majorBidi" w:eastAsiaTheme="majorEastAsia" w:hAnsiTheme="majorHAnsi"/>
      <w:b/>
      <w:color w:val="000000"/>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jc w:val="left"/>
    </w:pPr>
    <w:rPr>
      <w:rFonts w:cstheme="majorBidi" w:eastAsiaTheme="majorEastAsia"/>
      <w:b w:val="0"/>
      <w:color w:val="606A78"/>
      <w:spacing w:val="15"/>
      <w:sz w:val="24"/>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606A78"/>
      <w:spacing w:val="15"/>
      <w:sz w:val="28"/>
      <w:szCs w:val="28"/>
    </w:rPr>
  </w:style>
  <w:style w:customStyle="1" w:styleId="Author" w:type="paragraph">
    <w:name w:val="Author"/>
    <w:basedOn w:val="Title"/>
    <w:next w:val="BodyText"/>
    <w:qFormat/>
    <w:pPr>
      <w:keepNext/>
      <w:keepLines/>
      <w:jc w:val="left"/>
    </w:pPr>
    <w:rPr>
      <w:b w:val="0"/>
      <w:color w:val="606A78"/>
      <w:sz w:val="21"/>
      <w:szCs w:val="24"/>
    </w:rPr>
  </w:style>
  <w:style w:styleId="Date" w:type="paragraph">
    <w:name w:val="Date"/>
    <w:basedOn w:val="Title"/>
    <w:next w:val="BodyText"/>
    <w:qFormat/>
    <w:pPr>
      <w:keepNext/>
      <w:keepLines/>
      <w:jc w:val="left"/>
    </w:pPr>
    <w:rPr>
      <w:b w:val="0"/>
      <w:color w:val="606A78"/>
      <w:sz w:val="21"/>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440"/>
      <w:outlineLvl w:val="0"/>
    </w:pPr>
    <w:rPr>
      <w:rFonts w:asciiTheme="majorHAnsi" w:cstheme="majorBidi" w:eastAsiaTheme="majorEastAsia" w:hAnsiTheme="majorHAnsi"/>
      <w:b/>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320"/>
      <w:outlineLvl w:val="1"/>
    </w:pPr>
    <w:rPr>
      <w:rFonts w:asciiTheme="majorHAnsi" w:cstheme="majorBidi" w:eastAsiaTheme="majorEastAsia" w:hAnsiTheme="majorHAnsi"/>
      <w:b/>
      <w:color w:val="000000"/>
      <w:sz w:val="29"/>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b/>
      <w:color w:val="000000"/>
      <w:sz w:val="23"/>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606A78"/>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606A78"/>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0C1118"/>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0C1118"/>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00000"/>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00000"/>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00000"/>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00000"/>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00000"/>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606A78"/>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606A78"/>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0C1118"/>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0C1118"/>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1F66C9"/>
    </w:rPr>
  </w:style>
  <w:style w:styleId="TOCHeading" w:type="paragraph">
    <w:name w:val="TOC Heading"/>
    <w:basedOn w:val="Heading1"/>
    <w:next w:val="BodyText"/>
    <w:uiPriority w:val="39"/>
    <w:unhideWhenUsed/>
    <w:qFormat/>
    <w:pPr>
      <w:spacing w:before="240" w:line="259" w:lineRule="auto"/>
      <w:jc w:val="left"/>
      <w:outlineLvl w:val="9"/>
    </w:pPr>
    <w:rPr>
      <w:rFonts w:asciiTheme="majorHAnsi" w:cstheme="majorBidi" w:eastAsiaTheme="majorEastAsia" w:hAnsiTheme="majorHAnsi"/>
      <w:b/>
      <w:bCs w:val="0"/>
      <w:color w:val="000000"/>
      <w:sz w:val="29"/>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9" Target="header1.xml" Type="http://schemas.openxmlformats.org/officeDocument/2006/relationships/header" /><Relationship Id="rId10" Target="footer1.xml" Type="http://schemas.openxmlformats.org/officeDocument/2006/relationships/footer" /></Relationships>
</file>

<file path=word/_rels/footnotes.xml.rels><?xml version="1.0" encoding="UTF-8"?><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Sen"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Zalando San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Charte d’usage des outils d’intelligence artificielle de [Nom de l’entreprise]</dc:title>
  <dc:creator>Kokoro, kokoro-ai.fr</dc:creator>
  <cp:keywords/>
  <dcterms:created xsi:type="dcterms:W3CDTF">2026-10-12T08:54:27Z</dcterms:created>
  <dcterms:modified xsi:type="dcterms:W3CDTF">2026-10-12T08:54:27Z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Octobre 2026</vt:lpwstr>
  </property>
  <property fmtid="{D5CDD505-2E9C-101B-9397-08002B2CF9AE}" pid="3" name="subtitle">
    <vt:lpwstr>Modèle Kokoro, à remplir et à faire relire</vt:lpwstr>
  </property>
  <property fmtid="{D5CDD505-2E9C-101B-9397-08002B2CF9AE}" pid="4" name="toc-title">
    <vt:lpwstr>Sommaire</vt:lpwstr>
  </property>
</Properties>
</file>